
<file path=[Content_Types].xml><?xml version="1.0" encoding="utf-8"?>
<Types xmlns="http://schemas.openxmlformats.org/package/2006/content-types">
  <Override PartName="/docMetadata/LabelInfo.xml" ContentType="application/vnd.ms-office.classificationlabel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4AB" w:rsidRPr="000E754E" w:rsidRDefault="008E2624">
      <w:pPr>
        <w:rPr>
          <w:rFonts w:ascii="Bookman Old Style" w:hAnsi="Bookman Old Style"/>
          <w:b/>
          <w:bCs/>
          <w:sz w:val="24"/>
          <w:szCs w:val="24"/>
        </w:rPr>
      </w:pPr>
      <w:r w:rsidRPr="000E754E">
        <w:rPr>
          <w:rFonts w:ascii="Bookman Old Style" w:hAnsi="Bookman Old Style"/>
          <w:b/>
          <w:bCs/>
          <w:sz w:val="24"/>
          <w:szCs w:val="24"/>
        </w:rPr>
        <w:t xml:space="preserve">Replies to Comments from </w:t>
      </w:r>
      <w:r w:rsidR="00467C62" w:rsidRPr="000E754E">
        <w:rPr>
          <w:rFonts w:ascii="Bookman Old Style" w:hAnsi="Bookman Old Style"/>
          <w:b/>
          <w:bCs/>
          <w:sz w:val="24"/>
          <w:szCs w:val="24"/>
        </w:rPr>
        <w:t>Prayas (Energy Group)</w:t>
      </w:r>
      <w:r w:rsidR="00834D89" w:rsidRPr="000E754E">
        <w:rPr>
          <w:rFonts w:ascii="Bookman Old Style" w:hAnsi="Bookman Old Style"/>
          <w:b/>
          <w:bCs/>
          <w:sz w:val="24"/>
          <w:szCs w:val="24"/>
        </w:rPr>
        <w:t xml:space="preserve"> </w:t>
      </w:r>
      <w:r w:rsidRPr="000E754E">
        <w:rPr>
          <w:rFonts w:ascii="Bookman Old Style" w:hAnsi="Bookman Old Style"/>
          <w:b/>
          <w:bCs/>
          <w:sz w:val="24"/>
          <w:szCs w:val="24"/>
        </w:rPr>
        <w:t>on the petition by TG DISCOMs for consent for procuring 4000 MW distributed solar (including 1000 MW for SHGs)</w:t>
      </w:r>
    </w:p>
    <w:tbl>
      <w:tblPr>
        <w:tblStyle w:val="TableGrid"/>
        <w:tblW w:w="14142" w:type="dxa"/>
        <w:tblLook w:val="04A0"/>
      </w:tblPr>
      <w:tblGrid>
        <w:gridCol w:w="693"/>
        <w:gridCol w:w="8913"/>
        <w:gridCol w:w="4536"/>
      </w:tblGrid>
      <w:tr w:rsidR="00D614A7" w:rsidRPr="000E754E" w:rsidTr="00C27CAF">
        <w:tc>
          <w:tcPr>
            <w:tcW w:w="693" w:type="dxa"/>
          </w:tcPr>
          <w:p w:rsidR="00D614A7" w:rsidRPr="000E754E" w:rsidRDefault="00D614A7">
            <w:pPr>
              <w:rPr>
                <w:rFonts w:ascii="Bookman Old Style" w:hAnsi="Bookman Old Style"/>
                <w:b/>
                <w:bCs/>
                <w:sz w:val="24"/>
                <w:szCs w:val="24"/>
              </w:rPr>
            </w:pPr>
            <w:r w:rsidRPr="000E754E">
              <w:rPr>
                <w:rFonts w:ascii="Bookman Old Style" w:hAnsi="Bookman Old Style"/>
                <w:b/>
                <w:bCs/>
                <w:sz w:val="24"/>
                <w:szCs w:val="24"/>
              </w:rPr>
              <w:t>S. No.</w:t>
            </w:r>
          </w:p>
        </w:tc>
        <w:tc>
          <w:tcPr>
            <w:tcW w:w="8913" w:type="dxa"/>
          </w:tcPr>
          <w:p w:rsidR="00D614A7" w:rsidRPr="000E754E" w:rsidRDefault="000E2548">
            <w:pPr>
              <w:rPr>
                <w:rFonts w:ascii="Bookman Old Style" w:hAnsi="Bookman Old Style"/>
                <w:b/>
                <w:bCs/>
                <w:sz w:val="24"/>
                <w:szCs w:val="24"/>
              </w:rPr>
            </w:pPr>
            <w:r w:rsidRPr="000E754E">
              <w:rPr>
                <w:rFonts w:ascii="Bookman Old Style" w:hAnsi="Bookman Old Style"/>
                <w:b/>
                <w:bCs/>
                <w:sz w:val="24"/>
                <w:szCs w:val="24"/>
              </w:rPr>
              <w:t>Observation</w:t>
            </w:r>
            <w:r w:rsidR="00834D89" w:rsidRPr="000E754E">
              <w:rPr>
                <w:rFonts w:ascii="Bookman Old Style" w:hAnsi="Bookman Old Style"/>
                <w:b/>
                <w:bCs/>
                <w:sz w:val="24"/>
                <w:szCs w:val="24"/>
              </w:rPr>
              <w:t>/ Comment</w:t>
            </w:r>
          </w:p>
        </w:tc>
        <w:tc>
          <w:tcPr>
            <w:tcW w:w="4536" w:type="dxa"/>
          </w:tcPr>
          <w:p w:rsidR="00D614A7" w:rsidRPr="000E754E" w:rsidRDefault="000E2548" w:rsidP="005244DD">
            <w:pPr>
              <w:jc w:val="both"/>
              <w:rPr>
                <w:rFonts w:ascii="Bookman Old Style" w:hAnsi="Bookman Old Style"/>
                <w:b/>
                <w:bCs/>
                <w:sz w:val="24"/>
                <w:szCs w:val="24"/>
              </w:rPr>
            </w:pPr>
            <w:r w:rsidRPr="000E754E">
              <w:rPr>
                <w:rFonts w:ascii="Bookman Old Style" w:hAnsi="Bookman Old Style"/>
                <w:b/>
                <w:bCs/>
                <w:sz w:val="24"/>
                <w:szCs w:val="24"/>
              </w:rPr>
              <w:t xml:space="preserve">Rationale by </w:t>
            </w:r>
            <w:r w:rsidR="00AC248F" w:rsidRPr="000E754E">
              <w:rPr>
                <w:rFonts w:ascii="Bookman Old Style" w:hAnsi="Bookman Old Style"/>
                <w:b/>
                <w:bCs/>
                <w:sz w:val="24"/>
                <w:szCs w:val="24"/>
              </w:rPr>
              <w:t>TG DISCOMs</w:t>
            </w: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vAlign w:val="center"/>
          </w:tcPr>
          <w:p w:rsidR="006E72E9" w:rsidRPr="000E754E" w:rsidRDefault="006E72E9" w:rsidP="007160F8">
            <w:pPr>
              <w:pStyle w:val="ListParagraph"/>
              <w:widowControl w:val="0"/>
              <w:autoSpaceDE w:val="0"/>
              <w:autoSpaceDN w:val="0"/>
              <w:spacing w:before="200" w:line="276" w:lineRule="auto"/>
              <w:ind w:left="441" w:right="99"/>
              <w:contextualSpacing w:val="0"/>
              <w:jc w:val="both"/>
              <w:rPr>
                <w:rFonts w:ascii="Bookman Old Style" w:hAnsi="Bookman Old Style"/>
                <w:sz w:val="24"/>
                <w:szCs w:val="20"/>
              </w:rPr>
            </w:pPr>
            <w:r w:rsidRPr="000E754E">
              <w:rPr>
                <w:rFonts w:ascii="Bookman Old Style" w:hAnsi="Bookman Old Style"/>
                <w:sz w:val="24"/>
                <w:szCs w:val="20"/>
              </w:rPr>
              <w:t>Strengthening substation infrastructure: Projects are to be connected at the 11 kV level at the substations. Solar power will be available for use, only if the voltage levels are within limits and there are no power interruptions. If there is excess generation, there is a possibility of reverse power flow. Substations need to be checked for these aspects and required corrective measures need to be taken up. If this is not done, the DISCOMs and developers will not benefit from the solar plant. We request the DISCOMs to check the readiness of substations to integrate these solar projects and take up required corrective measures, with government support, if needed.</w:t>
            </w:r>
          </w:p>
        </w:tc>
        <w:tc>
          <w:tcPr>
            <w:tcW w:w="4536" w:type="dxa"/>
            <w:vMerge w:val="restart"/>
            <w:vAlign w:val="center"/>
          </w:tcPr>
          <w:p w:rsidR="006E72E9" w:rsidRPr="00B426BF" w:rsidRDefault="006E72E9" w:rsidP="00E03C02">
            <w:pPr>
              <w:jc w:val="both"/>
              <w:rPr>
                <w:rFonts w:ascii="Bookman Old Style" w:hAnsi="Bookman Old Style"/>
                <w:sz w:val="24"/>
                <w:szCs w:val="20"/>
              </w:rPr>
            </w:pPr>
            <w:r w:rsidRPr="00B426BF">
              <w:rPr>
                <w:rFonts w:ascii="Bookman Old Style" w:hAnsi="Bookman Old Style"/>
                <w:sz w:val="24"/>
                <w:szCs w:val="20"/>
              </w:rPr>
              <w:t>The suggestions pertaining to infrastructure and other aspects will be duly considered and addressed.</w:t>
            </w: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vAlign w:val="center"/>
          </w:tcPr>
          <w:p w:rsidR="006E72E9" w:rsidRPr="000E754E" w:rsidRDefault="006E72E9" w:rsidP="007160F8">
            <w:pPr>
              <w:pStyle w:val="ListParagraph"/>
              <w:widowControl w:val="0"/>
              <w:autoSpaceDE w:val="0"/>
              <w:autoSpaceDN w:val="0"/>
              <w:spacing w:line="276" w:lineRule="auto"/>
              <w:ind w:left="441" w:right="150"/>
              <w:contextualSpacing w:val="0"/>
              <w:jc w:val="both"/>
              <w:rPr>
                <w:rFonts w:ascii="Bookman Old Style" w:hAnsi="Bookman Old Style"/>
                <w:sz w:val="24"/>
                <w:szCs w:val="20"/>
              </w:rPr>
            </w:pPr>
            <w:r w:rsidRPr="000E754E">
              <w:rPr>
                <w:rFonts w:ascii="Bookman Old Style" w:hAnsi="Bookman Old Style"/>
                <w:sz w:val="24"/>
                <w:szCs w:val="20"/>
              </w:rPr>
              <w:t>Calculation of spare capacity at substations: The “</w:t>
            </w:r>
            <w:hyperlink r:id="rId5">
              <w:r w:rsidRPr="000E754E">
                <w:rPr>
                  <w:rFonts w:ascii="Bookman Old Style" w:hAnsi="Bookman Old Style"/>
                  <w:sz w:val="24"/>
                  <w:szCs w:val="20"/>
                </w:rPr>
                <w:t>Additional information 2</w:t>
              </w:r>
            </w:hyperlink>
            <w:r w:rsidRPr="000E754E">
              <w:rPr>
                <w:rFonts w:ascii="Bookman Old Style" w:hAnsi="Bookman Old Style"/>
                <w:sz w:val="24"/>
                <w:szCs w:val="20"/>
              </w:rPr>
              <w:t>” document provides substation-wise list of spare capacity. For ease of analysis, we request the DISCOMs to provide this data in spread sheet format. Ideally the capacity of the solar plant should not exceed the average load on the substation (agriculture and rural loads), so that there is no reverse power flow. DISCOMs could please comment on this aspect.</w:t>
            </w:r>
          </w:p>
        </w:tc>
        <w:tc>
          <w:tcPr>
            <w:tcW w:w="4536" w:type="dxa"/>
            <w:vMerge/>
          </w:tcPr>
          <w:p w:rsidR="006E72E9" w:rsidRPr="000E754E" w:rsidRDefault="006E72E9" w:rsidP="005244DD">
            <w:pPr>
              <w:jc w:val="both"/>
              <w:rPr>
                <w:rFonts w:ascii="Bookman Old Style" w:hAnsi="Bookman Old Style"/>
                <w:sz w:val="24"/>
                <w:szCs w:val="20"/>
              </w:rPr>
            </w:pP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vAlign w:val="center"/>
          </w:tcPr>
          <w:p w:rsidR="006E72E9" w:rsidRPr="000E754E" w:rsidRDefault="006E72E9" w:rsidP="000B40DF">
            <w:pPr>
              <w:pStyle w:val="ListParagraph"/>
              <w:widowControl w:val="0"/>
              <w:autoSpaceDE w:val="0"/>
              <w:autoSpaceDN w:val="0"/>
              <w:spacing w:line="276" w:lineRule="auto"/>
              <w:ind w:left="441" w:right="204"/>
              <w:contextualSpacing w:val="0"/>
              <w:jc w:val="both"/>
              <w:rPr>
                <w:rFonts w:ascii="Bookman Old Style" w:hAnsi="Bookman Old Style"/>
                <w:sz w:val="24"/>
                <w:szCs w:val="20"/>
              </w:rPr>
            </w:pPr>
            <w:r w:rsidRPr="000E754E">
              <w:rPr>
                <w:rFonts w:ascii="Bookman Old Style" w:hAnsi="Bookman Old Style"/>
                <w:sz w:val="24"/>
                <w:szCs w:val="20"/>
              </w:rPr>
              <w:t xml:space="preserve">Implementation time-line is ambitious: As per the pp19 of the </w:t>
            </w:r>
            <w:hyperlink r:id="rId6">
              <w:r w:rsidRPr="000E754E">
                <w:rPr>
                  <w:rFonts w:ascii="Bookman Old Style" w:hAnsi="Bookman Old Style"/>
                  <w:sz w:val="24"/>
                  <w:szCs w:val="20"/>
                </w:rPr>
                <w:t>petition</w:t>
              </w:r>
            </w:hyperlink>
            <w:r w:rsidRPr="000E754E">
              <w:rPr>
                <w:rFonts w:ascii="Bookman Old Style" w:hAnsi="Bookman Old Style"/>
                <w:sz w:val="24"/>
                <w:szCs w:val="20"/>
              </w:rPr>
              <w:t xml:space="preserve">, the projects have to be commissioned by 31/12/2025, which is less than 8 months away. Typically, such projects could take 15-18 months for commissioning, after PPA signing. KUSUM scheme has seen two extensions, and it would be better to follow up </w:t>
            </w:r>
            <w:r w:rsidRPr="000E754E">
              <w:rPr>
                <w:rFonts w:ascii="Bookman Old Style" w:hAnsi="Bookman Old Style"/>
                <w:sz w:val="24"/>
                <w:szCs w:val="20"/>
              </w:rPr>
              <w:lastRenderedPageBreak/>
              <w:t xml:space="preserve">with MNRE for another extension so that TGERC approval, tendering, award, PPA signing, construction and commissioning are not hurried through at the cost of quality and efficiency. Further, stricter timelines could result in low participation for tenders, thus hampering the prospect of </w:t>
            </w:r>
            <w:proofErr w:type="spellStart"/>
            <w:r w:rsidRPr="000E754E">
              <w:rPr>
                <w:rFonts w:ascii="Bookman Old Style" w:hAnsi="Bookman Old Style"/>
                <w:sz w:val="24"/>
                <w:szCs w:val="20"/>
              </w:rPr>
              <w:t>solarisation</w:t>
            </w:r>
            <w:proofErr w:type="spellEnd"/>
            <w:r w:rsidRPr="000E754E">
              <w:rPr>
                <w:rFonts w:ascii="Bookman Old Style" w:hAnsi="Bookman Old Style"/>
                <w:sz w:val="24"/>
                <w:szCs w:val="20"/>
              </w:rPr>
              <w:t xml:space="preserve"> of agricultural feeder in the state.</w:t>
            </w:r>
          </w:p>
          <w:p w:rsidR="006E72E9" w:rsidRPr="000E754E" w:rsidRDefault="006E72E9" w:rsidP="00B22F37">
            <w:pPr>
              <w:rPr>
                <w:rFonts w:ascii="Bookman Old Style" w:hAnsi="Bookman Old Style"/>
                <w:sz w:val="24"/>
                <w:szCs w:val="20"/>
              </w:rPr>
            </w:pPr>
          </w:p>
        </w:tc>
        <w:tc>
          <w:tcPr>
            <w:tcW w:w="4536" w:type="dxa"/>
          </w:tcPr>
          <w:p w:rsidR="006E72E9" w:rsidRPr="000E754E" w:rsidRDefault="006E72E9" w:rsidP="00E03C02">
            <w:pPr>
              <w:jc w:val="both"/>
              <w:rPr>
                <w:rFonts w:ascii="Bookman Old Style" w:hAnsi="Bookman Old Style"/>
                <w:sz w:val="24"/>
                <w:szCs w:val="20"/>
              </w:rPr>
            </w:pPr>
            <w:r w:rsidRPr="000E754E">
              <w:rPr>
                <w:rFonts w:ascii="Bookman Old Style" w:hAnsi="Bookman Old Style"/>
                <w:sz w:val="24"/>
                <w:szCs w:val="20"/>
              </w:rPr>
              <w:lastRenderedPageBreak/>
              <w:t>MNRE,</w:t>
            </w:r>
            <w:r>
              <w:rPr>
                <w:rFonts w:ascii="Bookman Old Style" w:hAnsi="Bookman Old Style"/>
                <w:sz w:val="24"/>
                <w:szCs w:val="20"/>
              </w:rPr>
              <w:t xml:space="preserve"> </w:t>
            </w:r>
            <w:r w:rsidRPr="000E754E">
              <w:rPr>
                <w:rFonts w:ascii="Bookman Old Style" w:hAnsi="Bookman Old Style"/>
                <w:sz w:val="24"/>
                <w:szCs w:val="20"/>
              </w:rPr>
              <w:t xml:space="preserve">Government of India, has stipulated the scheme duration </w:t>
            </w:r>
            <w:proofErr w:type="spellStart"/>
            <w:r w:rsidRPr="000E754E">
              <w:rPr>
                <w:rFonts w:ascii="Bookman Old Style" w:hAnsi="Bookman Old Style"/>
                <w:sz w:val="24"/>
                <w:szCs w:val="20"/>
              </w:rPr>
              <w:t>upto</w:t>
            </w:r>
            <w:proofErr w:type="spellEnd"/>
            <w:r w:rsidRPr="000E754E">
              <w:rPr>
                <w:rFonts w:ascii="Bookman Old Style" w:hAnsi="Bookman Old Style"/>
                <w:sz w:val="24"/>
                <w:szCs w:val="20"/>
              </w:rPr>
              <w:t xml:space="preserve"> 31.03.2026 applicable across the country.</w:t>
            </w:r>
            <w:r>
              <w:rPr>
                <w:rFonts w:ascii="Bookman Old Style" w:hAnsi="Bookman Old Style"/>
                <w:sz w:val="24"/>
                <w:szCs w:val="20"/>
              </w:rPr>
              <w:t xml:space="preserve"> </w:t>
            </w:r>
            <w:r w:rsidRPr="000E754E">
              <w:rPr>
                <w:rFonts w:ascii="Bookman Old Style" w:hAnsi="Bookman Old Style"/>
                <w:sz w:val="24"/>
                <w:szCs w:val="20"/>
              </w:rPr>
              <w:t xml:space="preserve">This is already an extended timeline. And MNRE is also preparing for the launch of KUSUM </w:t>
            </w:r>
            <w:r w:rsidRPr="000E754E">
              <w:rPr>
                <w:rFonts w:ascii="Bookman Old Style" w:hAnsi="Bookman Old Style"/>
                <w:sz w:val="24"/>
                <w:szCs w:val="20"/>
              </w:rPr>
              <w:lastRenderedPageBreak/>
              <w:t>Scheme Phase-II. In order to ensure timely submission of all necessary data and progress reports within the stipulated period. The commissioning deadline has been set as 31.12.2025.This internal milestones intended to facilitate smooth implementation and alignment with the overall scheme objectives and timelines</w:t>
            </w: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tcPr>
          <w:p w:rsidR="006E72E9" w:rsidRPr="000E754E" w:rsidRDefault="006E72E9" w:rsidP="00D74CB3">
            <w:pPr>
              <w:pStyle w:val="ListParagraph"/>
              <w:widowControl w:val="0"/>
              <w:tabs>
                <w:tab w:val="left" w:pos="820"/>
              </w:tabs>
              <w:autoSpaceDE w:val="0"/>
              <w:autoSpaceDN w:val="0"/>
              <w:spacing w:before="1" w:line="276" w:lineRule="auto"/>
              <w:ind w:left="441" w:right="301"/>
              <w:contextualSpacing w:val="0"/>
              <w:jc w:val="both"/>
              <w:rPr>
                <w:rFonts w:ascii="Bookman Old Style" w:hAnsi="Bookman Old Style"/>
                <w:sz w:val="24"/>
                <w:szCs w:val="20"/>
              </w:rPr>
            </w:pPr>
            <w:r w:rsidRPr="000E754E">
              <w:rPr>
                <w:rFonts w:ascii="Bookman Old Style" w:hAnsi="Bookman Old Style"/>
                <w:sz w:val="24"/>
                <w:szCs w:val="20"/>
              </w:rPr>
              <w:t xml:space="preserve">Doubt about MNRE capacity approval for Telangana: Annexure 3 of the </w:t>
            </w:r>
            <w:hyperlink r:id="rId7">
              <w:r w:rsidRPr="000E754E">
                <w:rPr>
                  <w:rFonts w:ascii="Bookman Old Style" w:hAnsi="Bookman Old Style"/>
                  <w:sz w:val="24"/>
                  <w:szCs w:val="20"/>
                </w:rPr>
                <w:t>petition</w:t>
              </w:r>
            </w:hyperlink>
            <w:r w:rsidRPr="000E754E">
              <w:rPr>
                <w:rFonts w:ascii="Bookman Old Style" w:hAnsi="Bookman Old Style"/>
                <w:sz w:val="24"/>
                <w:szCs w:val="20"/>
              </w:rPr>
              <w:t xml:space="preserve"> (available on </w:t>
            </w:r>
            <w:proofErr w:type="spellStart"/>
            <w:r w:rsidRPr="000E754E">
              <w:rPr>
                <w:rFonts w:ascii="Bookman Old Style" w:hAnsi="Bookman Old Style"/>
                <w:sz w:val="24"/>
                <w:szCs w:val="20"/>
              </w:rPr>
              <w:t>pdf</w:t>
            </w:r>
            <w:proofErr w:type="spellEnd"/>
            <w:r w:rsidRPr="000E754E">
              <w:rPr>
                <w:rFonts w:ascii="Bookman Old Style" w:hAnsi="Bookman Old Style"/>
                <w:sz w:val="24"/>
                <w:szCs w:val="20"/>
              </w:rPr>
              <w:t xml:space="preserve"> page 169) is Energy Department GO MS24 dated 13/11/2024. It mentions that MNRE has sanctioned 4000 MW under KUSUM A to Telangana on 20/6/2024. But as per the state wise approval details, available at the </w:t>
            </w:r>
            <w:hyperlink r:id="rId8">
              <w:r w:rsidRPr="000E754E">
                <w:rPr>
                  <w:rFonts w:ascii="Bookman Old Style" w:hAnsi="Bookman Old Style"/>
                  <w:sz w:val="24"/>
                  <w:szCs w:val="20"/>
                </w:rPr>
                <w:t>KUSUM</w:t>
              </w:r>
            </w:hyperlink>
            <w:r w:rsidRPr="000E754E">
              <w:rPr>
                <w:rFonts w:ascii="Bookman Old Style" w:hAnsi="Bookman Old Style"/>
                <w:sz w:val="24"/>
                <w:szCs w:val="20"/>
              </w:rPr>
              <w:t xml:space="preserve"> </w:t>
            </w:r>
            <w:hyperlink r:id="rId9">
              <w:r w:rsidRPr="000E754E">
                <w:rPr>
                  <w:rFonts w:ascii="Bookman Old Style" w:hAnsi="Bookman Old Style"/>
                  <w:sz w:val="24"/>
                  <w:szCs w:val="20"/>
                </w:rPr>
                <w:t>website</w:t>
              </w:r>
            </w:hyperlink>
            <w:r w:rsidRPr="000E754E">
              <w:rPr>
                <w:rFonts w:ascii="Bookman Old Style" w:hAnsi="Bookman Old Style"/>
                <w:sz w:val="24"/>
                <w:szCs w:val="20"/>
              </w:rPr>
              <w:t xml:space="preserve"> of MNRE (accessed on 09/04/2025, 1730 hours), the approved capacity for Telangana under KUSUMA is 1000MW.No capacity is approved under KUSUM –B (off grid pumps). Under KUSUM C </w:t>
            </w:r>
            <w:proofErr w:type="spellStart"/>
            <w:r w:rsidRPr="000E754E">
              <w:rPr>
                <w:rFonts w:ascii="Bookman Old Style" w:hAnsi="Bookman Old Style"/>
                <w:sz w:val="24"/>
                <w:szCs w:val="20"/>
              </w:rPr>
              <w:t>pumpset</w:t>
            </w:r>
            <w:proofErr w:type="spellEnd"/>
            <w:r w:rsidRPr="000E754E">
              <w:rPr>
                <w:rFonts w:ascii="Bookman Old Style" w:hAnsi="Bookman Old Style"/>
                <w:sz w:val="24"/>
                <w:szCs w:val="20"/>
              </w:rPr>
              <w:t xml:space="preserve"> </w:t>
            </w:r>
            <w:proofErr w:type="spellStart"/>
            <w:r w:rsidRPr="000E754E">
              <w:rPr>
                <w:rFonts w:ascii="Bookman Old Style" w:hAnsi="Bookman Old Style"/>
                <w:sz w:val="24"/>
                <w:szCs w:val="20"/>
              </w:rPr>
              <w:t>solarisation</w:t>
            </w:r>
            <w:proofErr w:type="spellEnd"/>
            <w:r w:rsidRPr="000E754E">
              <w:rPr>
                <w:rFonts w:ascii="Bookman Old Style" w:hAnsi="Bookman Old Style"/>
                <w:sz w:val="24"/>
                <w:szCs w:val="20"/>
              </w:rPr>
              <w:t xml:space="preserve">, 28,000 </w:t>
            </w:r>
            <w:proofErr w:type="spellStart"/>
            <w:r w:rsidRPr="000E754E">
              <w:rPr>
                <w:rFonts w:ascii="Bookman Old Style" w:hAnsi="Bookman Old Style"/>
                <w:sz w:val="24"/>
                <w:szCs w:val="20"/>
              </w:rPr>
              <w:t>pumpsets</w:t>
            </w:r>
            <w:proofErr w:type="spellEnd"/>
            <w:r w:rsidRPr="000E754E">
              <w:rPr>
                <w:rFonts w:ascii="Bookman Old Style" w:hAnsi="Bookman Old Style"/>
                <w:sz w:val="24"/>
                <w:szCs w:val="20"/>
              </w:rPr>
              <w:t xml:space="preserve"> are sanctioned, and nothing is sanctioned under feeder </w:t>
            </w:r>
            <w:proofErr w:type="spellStart"/>
            <w:r w:rsidRPr="000E754E">
              <w:rPr>
                <w:rFonts w:ascii="Bookman Old Style" w:hAnsi="Bookman Old Style"/>
                <w:sz w:val="24"/>
                <w:szCs w:val="20"/>
              </w:rPr>
              <w:t>solarisation</w:t>
            </w:r>
            <w:proofErr w:type="spellEnd"/>
            <w:r w:rsidRPr="000E754E">
              <w:rPr>
                <w:rFonts w:ascii="Bookman Old Style" w:hAnsi="Bookman Old Style"/>
                <w:sz w:val="24"/>
                <w:szCs w:val="20"/>
              </w:rPr>
              <w:t>. Please clarify the approved KUSUM capacity under A, B and C for Telangana. As per the same portal, the total sanctioned capacity for all states, under KUSUM -A is 10,000 MW and installed capacity is 563.48 MW. It is clear that the scheme is still in its initial stages of implementation. For better implementation in Telangana, It would be good if the DISCOMs studied experiences of implementation in other states.</w:t>
            </w:r>
          </w:p>
        </w:tc>
        <w:tc>
          <w:tcPr>
            <w:tcW w:w="4536" w:type="dxa"/>
          </w:tcPr>
          <w:p w:rsidR="006E72E9" w:rsidRPr="000E754E" w:rsidRDefault="006E72E9" w:rsidP="00E03C02">
            <w:pPr>
              <w:jc w:val="both"/>
              <w:rPr>
                <w:rFonts w:ascii="Bookman Old Style" w:hAnsi="Bookman Old Style"/>
                <w:sz w:val="24"/>
                <w:szCs w:val="20"/>
              </w:rPr>
            </w:pPr>
            <w:r w:rsidRPr="000E754E">
              <w:rPr>
                <w:rFonts w:ascii="Bookman Old Style" w:hAnsi="Bookman Old Style"/>
                <w:sz w:val="24"/>
                <w:szCs w:val="20"/>
              </w:rPr>
              <w:t xml:space="preserve">It is true that MNRE had initially allocated 4000 MW capacity to </w:t>
            </w:r>
            <w:proofErr w:type="spellStart"/>
            <w:r w:rsidRPr="000E754E">
              <w:rPr>
                <w:rFonts w:ascii="Bookman Old Style" w:hAnsi="Bookman Old Style"/>
                <w:sz w:val="24"/>
                <w:szCs w:val="20"/>
              </w:rPr>
              <w:t>Telangana</w:t>
            </w:r>
            <w:proofErr w:type="spellEnd"/>
            <w:r w:rsidRPr="000E754E">
              <w:rPr>
                <w:rFonts w:ascii="Bookman Old Style" w:hAnsi="Bookman Old Style"/>
                <w:sz w:val="24"/>
                <w:szCs w:val="20"/>
              </w:rPr>
              <w:t xml:space="preserve"> under KUSUM Component-</w:t>
            </w:r>
            <w:proofErr w:type="gramStart"/>
            <w:r w:rsidRPr="000E754E">
              <w:rPr>
                <w:rFonts w:ascii="Bookman Old Style" w:hAnsi="Bookman Old Style"/>
                <w:sz w:val="24"/>
                <w:szCs w:val="20"/>
              </w:rPr>
              <w:t>A</w:t>
            </w:r>
            <w:proofErr w:type="gramEnd"/>
            <w:r w:rsidRPr="000E754E">
              <w:rPr>
                <w:rFonts w:ascii="Bookman Old Style" w:hAnsi="Bookman Old Style"/>
                <w:sz w:val="24"/>
                <w:szCs w:val="20"/>
              </w:rPr>
              <w:t xml:space="preserve"> in June 2024 However, this allocation was subsequently revised to 1000MW by the end of January, 2025. By that time the state had already invited Expressions of Interest (</w:t>
            </w:r>
            <w:proofErr w:type="spellStart"/>
            <w:r w:rsidRPr="000E754E">
              <w:rPr>
                <w:rFonts w:ascii="Bookman Old Style" w:hAnsi="Bookman Old Style"/>
                <w:sz w:val="24"/>
                <w:szCs w:val="20"/>
              </w:rPr>
              <w:t>EoIs</w:t>
            </w:r>
            <w:proofErr w:type="spellEnd"/>
            <w:r w:rsidRPr="000E754E">
              <w:rPr>
                <w:rFonts w:ascii="Bookman Old Style" w:hAnsi="Bookman Old Style"/>
                <w:sz w:val="24"/>
                <w:szCs w:val="20"/>
              </w:rPr>
              <w:t>) from eligible applicants for the full 4000MW capacity, with detailed</w:t>
            </w:r>
            <w:r>
              <w:rPr>
                <w:rFonts w:ascii="Bookman Old Style" w:hAnsi="Bookman Old Style"/>
                <w:sz w:val="24"/>
                <w:szCs w:val="20"/>
              </w:rPr>
              <w:t xml:space="preserve"> </w:t>
            </w:r>
            <w:r w:rsidRPr="000E754E">
              <w:rPr>
                <w:rFonts w:ascii="Bookman Old Style" w:hAnsi="Bookman Old Style"/>
                <w:sz w:val="24"/>
                <w:szCs w:val="20"/>
              </w:rPr>
              <w:t>notification issued for identified substations across the state.</w:t>
            </w:r>
          </w:p>
          <w:p w:rsidR="006E72E9" w:rsidRPr="000E754E" w:rsidRDefault="006E72E9" w:rsidP="00E03C02">
            <w:pPr>
              <w:jc w:val="both"/>
              <w:rPr>
                <w:rFonts w:ascii="Bookman Old Style" w:hAnsi="Bookman Old Style"/>
                <w:sz w:val="24"/>
                <w:szCs w:val="20"/>
              </w:rPr>
            </w:pPr>
          </w:p>
          <w:p w:rsidR="006E72E9" w:rsidRDefault="006E72E9" w:rsidP="00E03C02">
            <w:pPr>
              <w:jc w:val="both"/>
              <w:rPr>
                <w:rFonts w:ascii="Bookman Old Style" w:hAnsi="Bookman Old Style"/>
                <w:sz w:val="24"/>
                <w:szCs w:val="20"/>
              </w:rPr>
            </w:pPr>
            <w:r w:rsidRPr="000E754E">
              <w:rPr>
                <w:rFonts w:ascii="Bookman Old Style" w:hAnsi="Bookman Old Style"/>
                <w:sz w:val="24"/>
                <w:szCs w:val="20"/>
              </w:rPr>
              <w:t>With regard to Component-C,</w:t>
            </w:r>
            <w:r>
              <w:rPr>
                <w:rFonts w:ascii="Bookman Old Style" w:hAnsi="Bookman Old Style"/>
                <w:sz w:val="24"/>
                <w:szCs w:val="20"/>
              </w:rPr>
              <w:t xml:space="preserve"> </w:t>
            </w:r>
            <w:r w:rsidRPr="000E754E">
              <w:rPr>
                <w:rFonts w:ascii="Bookman Old Style" w:hAnsi="Bookman Old Style"/>
                <w:sz w:val="24"/>
                <w:szCs w:val="20"/>
              </w:rPr>
              <w:t>it is correct</w:t>
            </w:r>
            <w:r>
              <w:rPr>
                <w:rFonts w:ascii="Bookman Old Style" w:hAnsi="Bookman Old Style"/>
                <w:sz w:val="24"/>
                <w:szCs w:val="20"/>
              </w:rPr>
              <w:t xml:space="preserve"> </w:t>
            </w:r>
            <w:r w:rsidRPr="000E754E">
              <w:rPr>
                <w:rFonts w:ascii="Bookman Old Style" w:hAnsi="Bookman Old Style"/>
                <w:sz w:val="24"/>
                <w:szCs w:val="20"/>
              </w:rPr>
              <w:t>that</w:t>
            </w:r>
            <w:r>
              <w:rPr>
                <w:rFonts w:ascii="Bookman Old Style" w:hAnsi="Bookman Old Style"/>
                <w:sz w:val="24"/>
                <w:szCs w:val="20"/>
              </w:rPr>
              <w:t xml:space="preserve"> </w:t>
            </w:r>
            <w:r w:rsidRPr="000E754E">
              <w:rPr>
                <w:rFonts w:ascii="Bookman Old Style" w:hAnsi="Bookman Old Style"/>
                <w:sz w:val="24"/>
                <w:szCs w:val="20"/>
              </w:rPr>
              <w:t>an</w:t>
            </w:r>
            <w:r>
              <w:rPr>
                <w:rFonts w:ascii="Bookman Old Style" w:hAnsi="Bookman Old Style"/>
                <w:sz w:val="24"/>
                <w:szCs w:val="20"/>
              </w:rPr>
              <w:t xml:space="preserve"> </w:t>
            </w:r>
            <w:r w:rsidRPr="000E754E">
              <w:rPr>
                <w:rFonts w:ascii="Bookman Old Style" w:hAnsi="Bookman Old Style"/>
                <w:sz w:val="24"/>
                <w:szCs w:val="20"/>
              </w:rPr>
              <w:t xml:space="preserve">allocation of 28,000 individual pump sets has been sanctioned for </w:t>
            </w:r>
            <w:proofErr w:type="spellStart"/>
            <w:r w:rsidRPr="000E754E">
              <w:rPr>
                <w:rFonts w:ascii="Bookman Old Style" w:hAnsi="Bookman Old Style"/>
                <w:sz w:val="24"/>
                <w:szCs w:val="20"/>
              </w:rPr>
              <w:t>Telangana</w:t>
            </w:r>
            <w:proofErr w:type="spellEnd"/>
            <w:r w:rsidRPr="000E754E">
              <w:rPr>
                <w:rFonts w:ascii="Bookman Old Style" w:hAnsi="Bookman Old Style"/>
                <w:sz w:val="24"/>
                <w:szCs w:val="20"/>
              </w:rPr>
              <w:t>. As for Component-</w:t>
            </w:r>
            <w:proofErr w:type="gramStart"/>
            <w:r w:rsidRPr="000E754E">
              <w:rPr>
                <w:rFonts w:ascii="Bookman Old Style" w:hAnsi="Bookman Old Style"/>
                <w:sz w:val="24"/>
                <w:szCs w:val="20"/>
              </w:rPr>
              <w:t>B(</w:t>
            </w:r>
            <w:proofErr w:type="gramEnd"/>
            <w:r w:rsidRPr="000E754E">
              <w:rPr>
                <w:rFonts w:ascii="Bookman Old Style" w:hAnsi="Bookman Old Style"/>
                <w:sz w:val="24"/>
                <w:szCs w:val="20"/>
              </w:rPr>
              <w:t xml:space="preserve">off-grid solar pumps) presently there is no allocation to the state. </w:t>
            </w:r>
          </w:p>
          <w:p w:rsidR="006E72E9" w:rsidRPr="000E754E" w:rsidRDefault="006E72E9" w:rsidP="00E03C02">
            <w:pPr>
              <w:jc w:val="both"/>
              <w:rPr>
                <w:rFonts w:ascii="Bookman Old Style" w:hAnsi="Bookman Old Style"/>
                <w:sz w:val="24"/>
                <w:szCs w:val="20"/>
              </w:rPr>
            </w:pPr>
          </w:p>
          <w:p w:rsidR="006E72E9" w:rsidRPr="000E754E" w:rsidRDefault="006E72E9" w:rsidP="00E03C02">
            <w:pPr>
              <w:jc w:val="both"/>
              <w:rPr>
                <w:rFonts w:ascii="Bookman Old Style" w:hAnsi="Bookman Old Style"/>
                <w:sz w:val="24"/>
                <w:szCs w:val="20"/>
              </w:rPr>
            </w:pPr>
            <w:r w:rsidRPr="000E754E">
              <w:rPr>
                <w:rFonts w:ascii="Bookman Old Style" w:hAnsi="Bookman Old Style"/>
                <w:sz w:val="24"/>
                <w:szCs w:val="20"/>
              </w:rPr>
              <w:t>The</w:t>
            </w:r>
            <w:r>
              <w:rPr>
                <w:rFonts w:ascii="Bookman Old Style" w:hAnsi="Bookman Old Style"/>
                <w:sz w:val="24"/>
                <w:szCs w:val="20"/>
              </w:rPr>
              <w:t xml:space="preserve"> </w:t>
            </w:r>
            <w:r w:rsidRPr="000E754E">
              <w:rPr>
                <w:rFonts w:ascii="Bookman Old Style" w:hAnsi="Bookman Old Style"/>
                <w:sz w:val="24"/>
                <w:szCs w:val="20"/>
              </w:rPr>
              <w:t>S</w:t>
            </w:r>
            <w:r>
              <w:rPr>
                <w:rFonts w:ascii="Bookman Old Style" w:hAnsi="Bookman Old Style"/>
                <w:sz w:val="24"/>
                <w:szCs w:val="20"/>
              </w:rPr>
              <w:t>t</w:t>
            </w:r>
            <w:r w:rsidRPr="000E754E">
              <w:rPr>
                <w:rFonts w:ascii="Bookman Old Style" w:hAnsi="Bookman Old Style"/>
                <w:sz w:val="24"/>
                <w:szCs w:val="20"/>
              </w:rPr>
              <w:t>ate</w:t>
            </w:r>
            <w:r>
              <w:rPr>
                <w:rFonts w:ascii="Bookman Old Style" w:hAnsi="Bookman Old Style"/>
                <w:sz w:val="24"/>
                <w:szCs w:val="20"/>
              </w:rPr>
              <w:t xml:space="preserve"> </w:t>
            </w:r>
            <w:r w:rsidRPr="000E754E">
              <w:rPr>
                <w:rFonts w:ascii="Bookman Old Style" w:hAnsi="Bookman Old Style"/>
                <w:sz w:val="24"/>
                <w:szCs w:val="20"/>
              </w:rPr>
              <w:t>Government</w:t>
            </w:r>
            <w:r>
              <w:rPr>
                <w:rFonts w:ascii="Bookman Old Style" w:hAnsi="Bookman Old Style"/>
                <w:sz w:val="24"/>
                <w:szCs w:val="20"/>
              </w:rPr>
              <w:t xml:space="preserve"> </w:t>
            </w:r>
            <w:r w:rsidRPr="000E754E">
              <w:rPr>
                <w:rFonts w:ascii="Bookman Old Style" w:hAnsi="Bookman Old Style"/>
                <w:sz w:val="24"/>
                <w:szCs w:val="20"/>
              </w:rPr>
              <w:t>is actively pursuing with MNRE for the restoration of the origin</w:t>
            </w:r>
            <w:r>
              <w:rPr>
                <w:rFonts w:ascii="Bookman Old Style" w:hAnsi="Bookman Old Style"/>
                <w:sz w:val="24"/>
                <w:szCs w:val="20"/>
              </w:rPr>
              <w:t xml:space="preserve"> </w:t>
            </w:r>
            <w:r w:rsidRPr="000E754E">
              <w:rPr>
                <w:rFonts w:ascii="Bookman Old Style" w:hAnsi="Bookman Old Style"/>
                <w:sz w:val="24"/>
                <w:szCs w:val="20"/>
              </w:rPr>
              <w:t>all all</w:t>
            </w:r>
            <w:r>
              <w:rPr>
                <w:rFonts w:ascii="Bookman Old Style" w:hAnsi="Bookman Old Style"/>
                <w:sz w:val="24"/>
                <w:szCs w:val="20"/>
              </w:rPr>
              <w:t>ocated 4000MW under Component-</w:t>
            </w:r>
            <w:proofErr w:type="gramStart"/>
            <w:r>
              <w:rPr>
                <w:rFonts w:ascii="Bookman Old Style" w:hAnsi="Bookman Old Style"/>
                <w:sz w:val="24"/>
                <w:szCs w:val="20"/>
              </w:rPr>
              <w:t xml:space="preserve">A </w:t>
            </w:r>
            <w:r w:rsidRPr="000E754E">
              <w:rPr>
                <w:rFonts w:ascii="Bookman Old Style" w:hAnsi="Bookman Old Style"/>
                <w:sz w:val="24"/>
                <w:szCs w:val="20"/>
              </w:rPr>
              <w:t>and</w:t>
            </w:r>
            <w:proofErr w:type="gramEnd"/>
            <w:r w:rsidRPr="000E754E">
              <w:rPr>
                <w:rFonts w:ascii="Bookman Old Style" w:hAnsi="Bookman Old Style"/>
                <w:sz w:val="24"/>
                <w:szCs w:val="20"/>
              </w:rPr>
              <w:t xml:space="preserve"> new allocations under Component B and C to enable comprehensive</w:t>
            </w:r>
            <w:r>
              <w:rPr>
                <w:rFonts w:ascii="Bookman Old Style" w:hAnsi="Bookman Old Style"/>
                <w:sz w:val="24"/>
                <w:szCs w:val="20"/>
              </w:rPr>
              <w:t xml:space="preserve"> i</w:t>
            </w:r>
            <w:r w:rsidRPr="000E754E">
              <w:rPr>
                <w:rFonts w:ascii="Bookman Old Style" w:hAnsi="Bookman Old Style"/>
                <w:sz w:val="24"/>
                <w:szCs w:val="20"/>
              </w:rPr>
              <w:t xml:space="preserve">mplementation of the KUSUM scheme in </w:t>
            </w:r>
            <w:proofErr w:type="spellStart"/>
            <w:r w:rsidRPr="000E754E">
              <w:rPr>
                <w:rFonts w:ascii="Bookman Old Style" w:hAnsi="Bookman Old Style"/>
                <w:sz w:val="24"/>
                <w:szCs w:val="20"/>
              </w:rPr>
              <w:t>Telangana</w:t>
            </w:r>
            <w:proofErr w:type="spellEnd"/>
            <w:r w:rsidRPr="000E754E">
              <w:rPr>
                <w:rFonts w:ascii="Bookman Old Style" w:hAnsi="Bookman Old Style"/>
                <w:sz w:val="24"/>
                <w:szCs w:val="20"/>
              </w:rPr>
              <w:t>.</w:t>
            </w: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vAlign w:val="center"/>
          </w:tcPr>
          <w:p w:rsidR="006E72E9" w:rsidRDefault="006E72E9" w:rsidP="000E754E">
            <w:pPr>
              <w:pStyle w:val="ListParagraph"/>
              <w:widowControl w:val="0"/>
              <w:tabs>
                <w:tab w:val="left" w:pos="820"/>
              </w:tabs>
              <w:autoSpaceDE w:val="0"/>
              <w:autoSpaceDN w:val="0"/>
              <w:spacing w:line="276" w:lineRule="auto"/>
              <w:ind w:left="441" w:right="120"/>
              <w:contextualSpacing w:val="0"/>
              <w:jc w:val="both"/>
              <w:rPr>
                <w:rFonts w:ascii="Bookman Old Style" w:hAnsi="Bookman Old Style"/>
                <w:sz w:val="24"/>
                <w:szCs w:val="20"/>
              </w:rPr>
            </w:pPr>
            <w:r w:rsidRPr="000E754E">
              <w:rPr>
                <w:rFonts w:ascii="Bookman Old Style" w:hAnsi="Bookman Old Style"/>
                <w:sz w:val="24"/>
                <w:szCs w:val="20"/>
              </w:rPr>
              <w:t xml:space="preserve">Suggestion of phased implementation: There are many new challenges in the proposed scheme. New actors such as SHGs and farmer associations are involved. Land parcels have to be identified at multiple locations, each a few acres in area, and lease agreements </w:t>
            </w:r>
            <w:proofErr w:type="spellStart"/>
            <w:r w:rsidRPr="000E754E">
              <w:rPr>
                <w:rFonts w:ascii="Bookman Old Style" w:hAnsi="Bookman Old Style"/>
                <w:sz w:val="24"/>
                <w:szCs w:val="20"/>
              </w:rPr>
              <w:t>formalised</w:t>
            </w:r>
            <w:proofErr w:type="spellEnd"/>
            <w:r w:rsidRPr="000E754E">
              <w:rPr>
                <w:rFonts w:ascii="Bookman Old Style" w:hAnsi="Bookman Old Style"/>
                <w:sz w:val="24"/>
                <w:szCs w:val="20"/>
              </w:rPr>
              <w:t xml:space="preserve">. 4000 MW would need around 20,000 acres total land. The petition does not mention the availability of land near substations. As mentioned in points 1 and 2 above, substation-wise feasibility assessments have to be carried out. After the commissioning, the O&amp;M eco-system has to be set up and </w:t>
            </w:r>
            <w:proofErr w:type="spellStart"/>
            <w:r w:rsidRPr="000E754E">
              <w:rPr>
                <w:rFonts w:ascii="Bookman Old Style" w:hAnsi="Bookman Old Style"/>
                <w:sz w:val="24"/>
                <w:szCs w:val="20"/>
              </w:rPr>
              <w:t>stabilised</w:t>
            </w:r>
            <w:proofErr w:type="spellEnd"/>
            <w:r w:rsidRPr="000E754E">
              <w:rPr>
                <w:rFonts w:ascii="Bookman Old Style" w:hAnsi="Bookman Old Style"/>
                <w:sz w:val="24"/>
                <w:szCs w:val="20"/>
              </w:rPr>
              <w:t xml:space="preserve">. Considering all these, we suggest a phased approach to implement this scheme. After a first phase (say 50 MW of SHG based and 100 MW of other), the lessons learned could be used in the next phase. Substations for the first phase could be </w:t>
            </w:r>
            <w:proofErr w:type="spellStart"/>
            <w:r w:rsidRPr="000E754E">
              <w:rPr>
                <w:rFonts w:ascii="Bookman Old Style" w:hAnsi="Bookman Old Style"/>
                <w:sz w:val="24"/>
                <w:szCs w:val="20"/>
              </w:rPr>
              <w:t>prioritised</w:t>
            </w:r>
            <w:proofErr w:type="spellEnd"/>
            <w:r w:rsidRPr="000E754E">
              <w:rPr>
                <w:rFonts w:ascii="Bookman Old Style" w:hAnsi="Bookman Old Style"/>
                <w:sz w:val="24"/>
                <w:szCs w:val="20"/>
              </w:rPr>
              <w:t xml:space="preserve"> using a variety of factors such as land availability, spare capacity, power supply reliability etc. Responsibility for land leasing is now with the developers. The state government could consider land pooling and making arrangements for land leasing. Such arrangements could be tried and </w:t>
            </w:r>
            <w:proofErr w:type="spellStart"/>
            <w:r w:rsidRPr="000E754E">
              <w:rPr>
                <w:rFonts w:ascii="Bookman Old Style" w:hAnsi="Bookman Old Style"/>
                <w:sz w:val="24"/>
                <w:szCs w:val="20"/>
              </w:rPr>
              <w:t>stabilised</w:t>
            </w:r>
            <w:proofErr w:type="spellEnd"/>
            <w:r w:rsidRPr="000E754E">
              <w:rPr>
                <w:rFonts w:ascii="Bookman Old Style" w:hAnsi="Bookman Old Style"/>
                <w:sz w:val="24"/>
                <w:szCs w:val="20"/>
              </w:rPr>
              <w:t xml:space="preserve"> during the first phase.</w:t>
            </w:r>
          </w:p>
          <w:p w:rsidR="00C27CAF" w:rsidRPr="000E754E" w:rsidRDefault="00C27CAF" w:rsidP="000E754E">
            <w:pPr>
              <w:pStyle w:val="ListParagraph"/>
              <w:widowControl w:val="0"/>
              <w:tabs>
                <w:tab w:val="left" w:pos="820"/>
              </w:tabs>
              <w:autoSpaceDE w:val="0"/>
              <w:autoSpaceDN w:val="0"/>
              <w:spacing w:line="276" w:lineRule="auto"/>
              <w:ind w:left="441" w:right="120"/>
              <w:contextualSpacing w:val="0"/>
              <w:jc w:val="both"/>
              <w:rPr>
                <w:rFonts w:ascii="Bookman Old Style" w:hAnsi="Bookman Old Style"/>
                <w:sz w:val="24"/>
                <w:szCs w:val="20"/>
              </w:rPr>
            </w:pPr>
          </w:p>
        </w:tc>
        <w:tc>
          <w:tcPr>
            <w:tcW w:w="4536" w:type="dxa"/>
          </w:tcPr>
          <w:p w:rsidR="006E72E9" w:rsidRPr="000E754E" w:rsidRDefault="006E72E9" w:rsidP="00E03C02">
            <w:pPr>
              <w:jc w:val="both"/>
              <w:rPr>
                <w:rFonts w:ascii="Bookman Old Style" w:hAnsi="Bookman Old Style"/>
                <w:sz w:val="24"/>
                <w:szCs w:val="20"/>
              </w:rPr>
            </w:pPr>
            <w:r w:rsidRPr="000E754E">
              <w:rPr>
                <w:rFonts w:ascii="Bookman Old Style" w:hAnsi="Bookman Old Style"/>
                <w:sz w:val="24"/>
                <w:szCs w:val="20"/>
              </w:rPr>
              <w:t>The state has consciously decided to adopt a distributed generation model under KUSUM component-A, primarily in view of prevailing land constraints.</w:t>
            </w:r>
          </w:p>
          <w:p w:rsidR="006E72E9" w:rsidRPr="000E754E" w:rsidRDefault="006E72E9" w:rsidP="00E03C02">
            <w:pPr>
              <w:jc w:val="both"/>
              <w:rPr>
                <w:rFonts w:ascii="Bookman Old Style" w:hAnsi="Bookman Old Style"/>
                <w:sz w:val="24"/>
                <w:szCs w:val="20"/>
              </w:rPr>
            </w:pPr>
            <w:r w:rsidRPr="000E754E">
              <w:rPr>
                <w:rFonts w:ascii="Bookman Old Style" w:hAnsi="Bookman Old Style"/>
                <w:sz w:val="24"/>
                <w:szCs w:val="20"/>
              </w:rPr>
              <w:t>Since this scheme encourages utilization of small, scattered land parcels-either owned or leased by farmers – it helps to overcome the typical challenges associated with large-scale land acquisition.</w:t>
            </w: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vAlign w:val="center"/>
          </w:tcPr>
          <w:p w:rsidR="006E72E9" w:rsidRPr="000E754E" w:rsidRDefault="006E72E9" w:rsidP="00C27CAF">
            <w:pPr>
              <w:pStyle w:val="ListParagraph"/>
              <w:widowControl w:val="0"/>
              <w:tabs>
                <w:tab w:val="left" w:pos="820"/>
              </w:tabs>
              <w:autoSpaceDE w:val="0"/>
              <w:autoSpaceDN w:val="0"/>
              <w:spacing w:line="276" w:lineRule="auto"/>
              <w:ind w:left="441" w:right="101"/>
              <w:contextualSpacing w:val="0"/>
              <w:jc w:val="both"/>
              <w:rPr>
                <w:rFonts w:ascii="Bookman Old Style" w:hAnsi="Bookman Old Style"/>
                <w:sz w:val="24"/>
                <w:szCs w:val="20"/>
              </w:rPr>
            </w:pPr>
            <w:r w:rsidRPr="000E754E">
              <w:rPr>
                <w:rFonts w:ascii="Bookman Old Style" w:hAnsi="Bookman Old Style"/>
                <w:sz w:val="24"/>
                <w:szCs w:val="20"/>
              </w:rPr>
              <w:t xml:space="preserve">Tariff determination and selection of developer: Petition mentions that Rs 3.13/Unit was determined by TGERC in 2021.This could be used as a ceiling tariff while inviting bids. If the implementation is phased out with smaller capacity in the first phase, there could be multiple bidders for the same substation. In such a case, competitive bidding could be conducted to choose the developer. The suggested Performance Bank Guarantee (PBG) of Rs. 5 lakh/MW (as opposed to Rs 1 lakh/MW in the MNRE documents) is high for SHGs and farmer associations. We suggest </w:t>
            </w:r>
            <w:proofErr w:type="gramStart"/>
            <w:r w:rsidRPr="000E754E">
              <w:rPr>
                <w:rFonts w:ascii="Bookman Old Style" w:hAnsi="Bookman Old Style"/>
                <w:sz w:val="24"/>
                <w:szCs w:val="20"/>
              </w:rPr>
              <w:t>to reduce</w:t>
            </w:r>
            <w:proofErr w:type="gramEnd"/>
            <w:r w:rsidRPr="000E754E">
              <w:rPr>
                <w:rFonts w:ascii="Bookman Old Style" w:hAnsi="Bookman Old Style"/>
                <w:sz w:val="24"/>
                <w:szCs w:val="20"/>
              </w:rPr>
              <w:t xml:space="preserve"> it to Rs.1 lakh/MW for SHGs and Farmer associations. As per the news reports, SHGs have to invest 10% of the cost, amounting to around Rs.35 Lakhs for a 1 MW plant, which is a significant amount. To encourage participation, DISCOMs/state government could assist SHGs and farmer association to avail low interest loans from financial institutions.</w:t>
            </w:r>
          </w:p>
        </w:tc>
        <w:tc>
          <w:tcPr>
            <w:tcW w:w="4536" w:type="dxa"/>
          </w:tcPr>
          <w:p w:rsidR="006E72E9" w:rsidRPr="000E754E" w:rsidRDefault="006E72E9" w:rsidP="00E03C02">
            <w:pPr>
              <w:jc w:val="both"/>
              <w:rPr>
                <w:rFonts w:ascii="Bookman Old Style" w:hAnsi="Bookman Old Style"/>
                <w:sz w:val="24"/>
                <w:szCs w:val="20"/>
              </w:rPr>
            </w:pPr>
            <w:r w:rsidRPr="000E754E">
              <w:rPr>
                <w:rFonts w:ascii="Bookman Old Style" w:hAnsi="Bookman Old Style"/>
                <w:sz w:val="24"/>
                <w:szCs w:val="20"/>
              </w:rPr>
              <w:t xml:space="preserve">Competitive bidding is not mandatory under the KUSUM </w:t>
            </w:r>
            <w:r w:rsidRPr="000E754E">
              <w:rPr>
                <w:rFonts w:ascii="Bookman Old Style" w:hAnsi="Bookman Old Style"/>
                <w:i/>
                <w:sz w:val="24"/>
                <w:szCs w:val="20"/>
              </w:rPr>
              <w:t xml:space="preserve">Component-A </w:t>
            </w:r>
            <w:r w:rsidRPr="000E754E">
              <w:rPr>
                <w:rFonts w:ascii="Bookman Old Style" w:hAnsi="Bookman Old Style"/>
                <w:sz w:val="24"/>
                <w:szCs w:val="20"/>
              </w:rPr>
              <w:t>scheme However, in instances where the number of eligible applications received exceeds the notified capacity at a particular substation, a transparent selection process becomes unavoidable. In such cases, competitive bidding may be adopted to ensure fairness and adherence to scheme guidelines.</w:t>
            </w:r>
          </w:p>
          <w:p w:rsidR="006E72E9" w:rsidRPr="000E754E" w:rsidRDefault="006E72E9" w:rsidP="00C27CAF">
            <w:pPr>
              <w:jc w:val="both"/>
              <w:rPr>
                <w:rFonts w:ascii="Bookman Old Style" w:hAnsi="Bookman Old Style"/>
                <w:sz w:val="24"/>
                <w:szCs w:val="20"/>
              </w:rPr>
            </w:pPr>
            <w:r w:rsidRPr="000E754E">
              <w:rPr>
                <w:rFonts w:ascii="Bookman Old Style" w:hAnsi="Bookman Old Style"/>
                <w:sz w:val="24"/>
                <w:szCs w:val="20"/>
              </w:rPr>
              <w:t>Regarding the Performance Bank Guarantee (PBG)</w:t>
            </w:r>
            <w:proofErr w:type="gramStart"/>
            <w:r w:rsidRPr="000E754E">
              <w:rPr>
                <w:rFonts w:ascii="Bookman Old Style" w:hAnsi="Bookman Old Style"/>
                <w:sz w:val="24"/>
                <w:szCs w:val="20"/>
              </w:rPr>
              <w:t>,in</w:t>
            </w:r>
            <w:proofErr w:type="gramEnd"/>
            <w:r w:rsidRPr="000E754E">
              <w:rPr>
                <w:rFonts w:ascii="Bookman Old Style" w:hAnsi="Bookman Old Style"/>
                <w:sz w:val="24"/>
                <w:szCs w:val="20"/>
              </w:rPr>
              <w:t xml:space="preserve"> line with MNRE guidelines. The State has already initiated steps to collect a reduced PBG of Rs.1 </w:t>
            </w:r>
            <w:proofErr w:type="spellStart"/>
            <w:r w:rsidRPr="000E754E">
              <w:rPr>
                <w:rFonts w:ascii="Bookman Old Style" w:hAnsi="Bookman Old Style"/>
                <w:sz w:val="24"/>
                <w:szCs w:val="20"/>
              </w:rPr>
              <w:t>Iakh</w:t>
            </w:r>
            <w:proofErr w:type="spellEnd"/>
            <w:r w:rsidRPr="000E754E">
              <w:rPr>
                <w:rFonts w:ascii="Bookman Old Style" w:hAnsi="Bookman Old Style"/>
                <w:sz w:val="24"/>
                <w:szCs w:val="20"/>
              </w:rPr>
              <w:t xml:space="preserve">/MW Necessary approvals are being </w:t>
            </w:r>
            <w:r w:rsidRPr="000E754E">
              <w:rPr>
                <w:rFonts w:ascii="Bookman Old Style" w:hAnsi="Bookman Old Style"/>
                <w:i/>
                <w:sz w:val="24"/>
                <w:szCs w:val="20"/>
              </w:rPr>
              <w:t xml:space="preserve">obtained </w:t>
            </w:r>
            <w:r w:rsidRPr="000E754E">
              <w:rPr>
                <w:rFonts w:ascii="Bookman Old Style" w:hAnsi="Bookman Old Style"/>
                <w:sz w:val="24"/>
                <w:szCs w:val="20"/>
              </w:rPr>
              <w:t xml:space="preserve">from the </w:t>
            </w:r>
            <w:proofErr w:type="spellStart"/>
            <w:r w:rsidRPr="000E754E">
              <w:rPr>
                <w:rFonts w:ascii="Bookman Old Style" w:hAnsi="Bookman Old Style"/>
                <w:sz w:val="24"/>
                <w:szCs w:val="20"/>
              </w:rPr>
              <w:t>Hon’ble</w:t>
            </w:r>
            <w:proofErr w:type="spellEnd"/>
            <w:r w:rsidRPr="000E754E">
              <w:rPr>
                <w:rFonts w:ascii="Bookman Old Style" w:hAnsi="Bookman Old Style"/>
                <w:sz w:val="24"/>
                <w:szCs w:val="20"/>
              </w:rPr>
              <w:t xml:space="preserve"> TGERC</w:t>
            </w:r>
            <w:r w:rsidR="00C27CAF">
              <w:rPr>
                <w:rFonts w:ascii="Bookman Old Style" w:hAnsi="Bookman Old Style"/>
                <w:sz w:val="24"/>
                <w:szCs w:val="20"/>
              </w:rPr>
              <w:t>.</w:t>
            </w: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vAlign w:val="center"/>
          </w:tcPr>
          <w:p w:rsidR="006E72E9" w:rsidRPr="000E754E" w:rsidRDefault="006E72E9" w:rsidP="000B40DF">
            <w:pPr>
              <w:pStyle w:val="ListParagraph"/>
              <w:widowControl w:val="0"/>
              <w:tabs>
                <w:tab w:val="left" w:pos="820"/>
              </w:tabs>
              <w:autoSpaceDE w:val="0"/>
              <w:autoSpaceDN w:val="0"/>
              <w:spacing w:line="276" w:lineRule="auto"/>
              <w:ind w:left="441" w:right="130"/>
              <w:contextualSpacing w:val="0"/>
              <w:jc w:val="both"/>
              <w:rPr>
                <w:rFonts w:ascii="Bookman Old Style" w:hAnsi="Bookman Old Style"/>
                <w:sz w:val="24"/>
                <w:szCs w:val="20"/>
              </w:rPr>
            </w:pPr>
            <w:r w:rsidRPr="000E754E">
              <w:rPr>
                <w:rFonts w:ascii="Bookman Old Style" w:hAnsi="Bookman Old Style"/>
                <w:sz w:val="24"/>
                <w:szCs w:val="20"/>
              </w:rPr>
              <w:t xml:space="preserve">Revise the power purchase plan: </w:t>
            </w:r>
            <w:hyperlink r:id="rId10">
              <w:r w:rsidRPr="000E754E">
                <w:rPr>
                  <w:rFonts w:ascii="Bookman Old Style" w:hAnsi="Bookman Old Style"/>
                  <w:sz w:val="24"/>
                  <w:szCs w:val="20"/>
                </w:rPr>
                <w:t>Additional information-1</w:t>
              </w:r>
            </w:hyperlink>
            <w:r w:rsidRPr="000E754E">
              <w:rPr>
                <w:rFonts w:ascii="Bookman Old Style" w:hAnsi="Bookman Old Style"/>
                <w:sz w:val="24"/>
                <w:szCs w:val="20"/>
              </w:rPr>
              <w:t xml:space="preserve"> has provided the DISCOM justification for the need of this capacity. Expected demand growth, higher renewable energy targets and resource adequacy guidelines have been cited for this. This distributed solar capacity addition has multiple benefits, as mentioned above.</w:t>
            </w:r>
          </w:p>
          <w:p w:rsidR="006E72E9" w:rsidRPr="000E754E" w:rsidRDefault="006E72E9" w:rsidP="00C27CAF">
            <w:pPr>
              <w:pStyle w:val="BodyText"/>
              <w:spacing w:before="41" w:line="276" w:lineRule="auto"/>
              <w:ind w:left="441" w:right="188"/>
              <w:jc w:val="both"/>
              <w:rPr>
                <w:rFonts w:ascii="Bookman Old Style" w:hAnsi="Bookman Old Style"/>
                <w:sz w:val="24"/>
                <w:szCs w:val="20"/>
              </w:rPr>
            </w:pPr>
            <w:r w:rsidRPr="000E754E">
              <w:rPr>
                <w:rFonts w:ascii="Bookman Old Style" w:hAnsi="Bookman Old Style"/>
                <w:sz w:val="24"/>
                <w:szCs w:val="20"/>
              </w:rPr>
              <w:t>Therefore, it could be given a higher priority over the many other proposed power purchase plans. Considering many new developments, we request TGERC to review the resource plan order and the power purchase plan of the DISCOMs.</w:t>
            </w:r>
          </w:p>
        </w:tc>
        <w:tc>
          <w:tcPr>
            <w:tcW w:w="4536" w:type="dxa"/>
            <w:vAlign w:val="center"/>
          </w:tcPr>
          <w:p w:rsidR="006E72E9" w:rsidRPr="000E754E" w:rsidRDefault="006E72E9" w:rsidP="00E03C02">
            <w:pPr>
              <w:jc w:val="center"/>
              <w:rPr>
                <w:rFonts w:ascii="Bookman Old Style" w:hAnsi="Bookman Old Style"/>
                <w:sz w:val="24"/>
                <w:szCs w:val="20"/>
              </w:rPr>
            </w:pPr>
            <w:r w:rsidRPr="000E754E">
              <w:rPr>
                <w:rFonts w:ascii="Bookman Old Style" w:hAnsi="Bookman Old Style"/>
                <w:sz w:val="24"/>
                <w:szCs w:val="20"/>
              </w:rPr>
              <w:t>-</w:t>
            </w:r>
          </w:p>
        </w:tc>
      </w:tr>
      <w:tr w:rsidR="006E72E9" w:rsidRPr="000E754E" w:rsidTr="00C27CAF">
        <w:tc>
          <w:tcPr>
            <w:tcW w:w="693" w:type="dxa"/>
          </w:tcPr>
          <w:p w:rsidR="006E72E9" w:rsidRPr="000E754E" w:rsidRDefault="006E72E9" w:rsidP="00AC248F">
            <w:pPr>
              <w:pStyle w:val="ListParagraph"/>
              <w:numPr>
                <w:ilvl w:val="0"/>
                <w:numId w:val="1"/>
              </w:numPr>
              <w:jc w:val="center"/>
              <w:rPr>
                <w:rFonts w:ascii="Bookman Old Style" w:hAnsi="Bookman Old Style"/>
                <w:sz w:val="24"/>
                <w:szCs w:val="20"/>
              </w:rPr>
            </w:pPr>
          </w:p>
        </w:tc>
        <w:tc>
          <w:tcPr>
            <w:tcW w:w="8913" w:type="dxa"/>
            <w:vAlign w:val="center"/>
          </w:tcPr>
          <w:p w:rsidR="006E72E9" w:rsidRPr="000E754E" w:rsidRDefault="006E72E9" w:rsidP="000B40DF">
            <w:pPr>
              <w:pStyle w:val="ListParagraph"/>
              <w:widowControl w:val="0"/>
              <w:tabs>
                <w:tab w:val="left" w:pos="820"/>
              </w:tabs>
              <w:autoSpaceDE w:val="0"/>
              <w:autoSpaceDN w:val="0"/>
              <w:spacing w:line="276" w:lineRule="auto"/>
              <w:ind w:left="441" w:right="153"/>
              <w:contextualSpacing w:val="0"/>
              <w:jc w:val="both"/>
              <w:rPr>
                <w:rFonts w:ascii="Bookman Old Style" w:hAnsi="Bookman Old Style"/>
                <w:sz w:val="24"/>
                <w:szCs w:val="20"/>
              </w:rPr>
            </w:pPr>
            <w:r w:rsidRPr="000E754E">
              <w:rPr>
                <w:rFonts w:ascii="Bookman Old Style" w:hAnsi="Bookman Old Style"/>
                <w:sz w:val="24"/>
                <w:szCs w:val="20"/>
              </w:rPr>
              <w:t xml:space="preserve">KUSUM – C could be a better option:  Agriculture is the main rural load and feeder </w:t>
            </w:r>
            <w:proofErr w:type="spellStart"/>
            <w:r w:rsidRPr="000E754E">
              <w:rPr>
                <w:rFonts w:ascii="Bookman Old Style" w:hAnsi="Bookman Old Style"/>
                <w:sz w:val="24"/>
                <w:szCs w:val="20"/>
              </w:rPr>
              <w:t>solarisation</w:t>
            </w:r>
            <w:proofErr w:type="spellEnd"/>
            <w:r w:rsidRPr="000E754E">
              <w:rPr>
                <w:rFonts w:ascii="Bookman Old Style" w:hAnsi="Bookman Old Style"/>
                <w:sz w:val="24"/>
                <w:szCs w:val="20"/>
              </w:rPr>
              <w:t xml:space="preserve"> option under KUSUM C has provision for 30% Central Financial Assistance (CFA). This option is being taken up by many states, and TG should also consider this. As per the </w:t>
            </w:r>
            <w:hyperlink r:id="rId11">
              <w:r w:rsidRPr="000E754E">
                <w:rPr>
                  <w:rFonts w:ascii="Bookman Old Style" w:hAnsi="Bookman Old Style"/>
                  <w:sz w:val="24"/>
                  <w:szCs w:val="20"/>
                </w:rPr>
                <w:t>KUSUM portal</w:t>
              </w:r>
            </w:hyperlink>
            <w:r w:rsidRPr="000E754E">
              <w:rPr>
                <w:rFonts w:ascii="Bookman Old Style" w:hAnsi="Bookman Old Style"/>
                <w:sz w:val="24"/>
                <w:szCs w:val="20"/>
              </w:rPr>
              <w:t xml:space="preserve">, sanction has been given to cover over 35 lakh pump sets and installation is complete for 3 lakh pump sets, mainly in five states (for example, Maharashtra status can be accessed at the </w:t>
            </w:r>
            <w:hyperlink r:id="rId12">
              <w:r w:rsidRPr="000E754E">
                <w:rPr>
                  <w:rFonts w:ascii="Bookman Old Style" w:hAnsi="Bookman Old Style"/>
                  <w:sz w:val="24"/>
                  <w:szCs w:val="20"/>
                </w:rPr>
                <w:t>MSKVY page</w:t>
              </w:r>
            </w:hyperlink>
            <w:r w:rsidRPr="000E754E">
              <w:rPr>
                <w:rFonts w:ascii="Bookman Old Style" w:hAnsi="Bookman Old Style"/>
              </w:rPr>
              <w:t xml:space="preserve"> </w:t>
            </w:r>
            <w:r w:rsidRPr="000E754E">
              <w:rPr>
                <w:rFonts w:ascii="Bookman Old Style" w:hAnsi="Bookman Old Style"/>
                <w:sz w:val="24"/>
                <w:szCs w:val="20"/>
              </w:rPr>
              <w:t xml:space="preserve">of Maharashtra Electricity Distribution Company).The CFA will ensure that the tariff impact on DISCOMs for power procurement is less, while not impacting any returns for the project developers. TGDISCOMs can be asked to provide detailed future plan for </w:t>
            </w:r>
            <w:proofErr w:type="spellStart"/>
            <w:r w:rsidRPr="000E754E">
              <w:rPr>
                <w:rFonts w:ascii="Bookman Old Style" w:hAnsi="Bookman Old Style"/>
                <w:sz w:val="24"/>
                <w:szCs w:val="20"/>
              </w:rPr>
              <w:t>solarisation</w:t>
            </w:r>
            <w:proofErr w:type="spellEnd"/>
            <w:r w:rsidRPr="000E754E">
              <w:rPr>
                <w:rFonts w:ascii="Bookman Old Style" w:hAnsi="Bookman Old Style"/>
                <w:sz w:val="24"/>
                <w:szCs w:val="20"/>
              </w:rPr>
              <w:t xml:space="preserve"> of agricultural feeder under KUSUM C. However, this would require determination of tariff for KUSUM-C component by TGERC.</w:t>
            </w:r>
          </w:p>
          <w:p w:rsidR="006E72E9" w:rsidRPr="000E754E" w:rsidRDefault="006E72E9" w:rsidP="007B2EFC">
            <w:pPr>
              <w:pStyle w:val="BodyText"/>
              <w:rPr>
                <w:rFonts w:ascii="Bookman Old Style" w:hAnsi="Bookman Old Style"/>
                <w:sz w:val="24"/>
                <w:szCs w:val="20"/>
              </w:rPr>
            </w:pPr>
          </w:p>
        </w:tc>
        <w:tc>
          <w:tcPr>
            <w:tcW w:w="4536" w:type="dxa"/>
          </w:tcPr>
          <w:p w:rsidR="006E72E9" w:rsidRPr="000E754E" w:rsidRDefault="006E72E9" w:rsidP="00E03C02">
            <w:pPr>
              <w:jc w:val="both"/>
              <w:rPr>
                <w:rFonts w:ascii="Bookman Old Style" w:hAnsi="Bookman Old Style"/>
                <w:sz w:val="24"/>
                <w:szCs w:val="20"/>
              </w:rPr>
            </w:pPr>
            <w:r w:rsidRPr="000E754E">
              <w:rPr>
                <w:rFonts w:ascii="Bookman Old Style" w:hAnsi="Bookman Old Style"/>
                <w:sz w:val="24"/>
                <w:szCs w:val="20"/>
              </w:rPr>
              <w:t xml:space="preserve">The State has already initiated correspondence with MNRE requesting allocation of capacity under KUSUM Component-C for feeder-level </w:t>
            </w:r>
            <w:proofErr w:type="spellStart"/>
            <w:r w:rsidRPr="000E754E">
              <w:rPr>
                <w:rFonts w:ascii="Bookman Old Style" w:hAnsi="Bookman Old Style"/>
                <w:sz w:val="24"/>
                <w:szCs w:val="20"/>
              </w:rPr>
              <w:t>solarisalion</w:t>
            </w:r>
            <w:proofErr w:type="spellEnd"/>
          </w:p>
          <w:p w:rsidR="006E72E9" w:rsidRPr="000E754E" w:rsidRDefault="006E72E9" w:rsidP="00E03C02">
            <w:pPr>
              <w:jc w:val="both"/>
              <w:rPr>
                <w:rFonts w:ascii="Bookman Old Style" w:hAnsi="Bookman Old Style"/>
                <w:sz w:val="24"/>
                <w:szCs w:val="20"/>
              </w:rPr>
            </w:pPr>
          </w:p>
        </w:tc>
      </w:tr>
    </w:tbl>
    <w:p w:rsidR="00D614A7" w:rsidRPr="000E754E" w:rsidRDefault="00D614A7">
      <w:pPr>
        <w:rPr>
          <w:rFonts w:ascii="Bookman Old Style" w:hAnsi="Bookman Old Style"/>
          <w:b/>
          <w:bCs/>
          <w:sz w:val="24"/>
          <w:szCs w:val="20"/>
        </w:rPr>
      </w:pPr>
    </w:p>
    <w:sectPr w:rsidR="00D614A7" w:rsidRPr="000E754E" w:rsidSect="00C27CAF">
      <w:pgSz w:w="16839" w:h="11907" w:orient="landscape"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575"/>
    <w:multiLevelType w:val="hybridMultilevel"/>
    <w:tmpl w:val="CCC43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405999"/>
    <w:multiLevelType w:val="hybridMultilevel"/>
    <w:tmpl w:val="33B62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E552A"/>
    <w:multiLevelType w:val="hybridMultilevel"/>
    <w:tmpl w:val="D37248D4"/>
    <w:lvl w:ilvl="0" w:tplc="41FE0982">
      <w:start w:val="1"/>
      <w:numFmt w:val="decimal"/>
      <w:lvlText w:val="%1."/>
      <w:lvlJc w:val="left"/>
      <w:pPr>
        <w:ind w:left="820" w:hanging="360"/>
      </w:pPr>
      <w:rPr>
        <w:rFonts w:ascii="Calibri" w:eastAsia="Calibri" w:hAnsi="Calibri" w:cs="Calibri" w:hint="default"/>
        <w:b w:val="0"/>
        <w:bCs w:val="0"/>
        <w:i w:val="0"/>
        <w:iCs w:val="0"/>
        <w:spacing w:val="0"/>
        <w:w w:val="100"/>
        <w:sz w:val="24"/>
        <w:szCs w:val="24"/>
        <w:lang w:val="en-US" w:eastAsia="en-US" w:bidi="ar-SA"/>
      </w:rPr>
    </w:lvl>
    <w:lvl w:ilvl="1" w:tplc="FFA401E8">
      <w:numFmt w:val="bullet"/>
      <w:lvlText w:val="•"/>
      <w:lvlJc w:val="left"/>
      <w:pPr>
        <w:ind w:left="1660" w:hanging="360"/>
      </w:pPr>
      <w:rPr>
        <w:rFonts w:hint="default"/>
        <w:lang w:val="en-US" w:eastAsia="en-US" w:bidi="ar-SA"/>
      </w:rPr>
    </w:lvl>
    <w:lvl w:ilvl="2" w:tplc="608C6122">
      <w:numFmt w:val="bullet"/>
      <w:lvlText w:val="•"/>
      <w:lvlJc w:val="left"/>
      <w:pPr>
        <w:ind w:left="2501" w:hanging="360"/>
      </w:pPr>
      <w:rPr>
        <w:rFonts w:hint="default"/>
        <w:lang w:val="en-US" w:eastAsia="en-US" w:bidi="ar-SA"/>
      </w:rPr>
    </w:lvl>
    <w:lvl w:ilvl="3" w:tplc="E8CC5E62">
      <w:numFmt w:val="bullet"/>
      <w:lvlText w:val="•"/>
      <w:lvlJc w:val="left"/>
      <w:pPr>
        <w:ind w:left="3341" w:hanging="360"/>
      </w:pPr>
      <w:rPr>
        <w:rFonts w:hint="default"/>
        <w:lang w:val="en-US" w:eastAsia="en-US" w:bidi="ar-SA"/>
      </w:rPr>
    </w:lvl>
    <w:lvl w:ilvl="4" w:tplc="434E6312">
      <w:numFmt w:val="bullet"/>
      <w:lvlText w:val="•"/>
      <w:lvlJc w:val="left"/>
      <w:pPr>
        <w:ind w:left="4182" w:hanging="360"/>
      </w:pPr>
      <w:rPr>
        <w:rFonts w:hint="default"/>
        <w:lang w:val="en-US" w:eastAsia="en-US" w:bidi="ar-SA"/>
      </w:rPr>
    </w:lvl>
    <w:lvl w:ilvl="5" w:tplc="0E402240">
      <w:numFmt w:val="bullet"/>
      <w:lvlText w:val="•"/>
      <w:lvlJc w:val="left"/>
      <w:pPr>
        <w:ind w:left="5023" w:hanging="360"/>
      </w:pPr>
      <w:rPr>
        <w:rFonts w:hint="default"/>
        <w:lang w:val="en-US" w:eastAsia="en-US" w:bidi="ar-SA"/>
      </w:rPr>
    </w:lvl>
    <w:lvl w:ilvl="6" w:tplc="46CA3972">
      <w:numFmt w:val="bullet"/>
      <w:lvlText w:val="•"/>
      <w:lvlJc w:val="left"/>
      <w:pPr>
        <w:ind w:left="5863" w:hanging="360"/>
      </w:pPr>
      <w:rPr>
        <w:rFonts w:hint="default"/>
        <w:lang w:val="en-US" w:eastAsia="en-US" w:bidi="ar-SA"/>
      </w:rPr>
    </w:lvl>
    <w:lvl w:ilvl="7" w:tplc="33105F6A">
      <w:numFmt w:val="bullet"/>
      <w:lvlText w:val="•"/>
      <w:lvlJc w:val="left"/>
      <w:pPr>
        <w:ind w:left="6704" w:hanging="360"/>
      </w:pPr>
      <w:rPr>
        <w:rFonts w:hint="default"/>
        <w:lang w:val="en-US" w:eastAsia="en-US" w:bidi="ar-SA"/>
      </w:rPr>
    </w:lvl>
    <w:lvl w:ilvl="8" w:tplc="ED16FE9A">
      <w:numFmt w:val="bullet"/>
      <w:lvlText w:val="•"/>
      <w:lvlJc w:val="left"/>
      <w:pPr>
        <w:ind w:left="7545" w:hanging="360"/>
      </w:pPr>
      <w:rPr>
        <w:rFonts w:hint="default"/>
        <w:lang w:val="en-US" w:eastAsia="en-US" w:bidi="ar-SA"/>
      </w:rPr>
    </w:lvl>
  </w:abstractNum>
  <w:num w:numId="1">
    <w:abstractNumId w:val="1"/>
  </w:num>
  <w:num w:numId="2">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12877"/>
    <w:rsid w:val="000352A3"/>
    <w:rsid w:val="0005243D"/>
    <w:rsid w:val="00086D14"/>
    <w:rsid w:val="000B40DF"/>
    <w:rsid w:val="000C5255"/>
    <w:rsid w:val="000D39CA"/>
    <w:rsid w:val="000D3B1E"/>
    <w:rsid w:val="000E2548"/>
    <w:rsid w:val="000E754E"/>
    <w:rsid w:val="00115101"/>
    <w:rsid w:val="0012150E"/>
    <w:rsid w:val="0012286B"/>
    <w:rsid w:val="00157CAB"/>
    <w:rsid w:val="00192DC4"/>
    <w:rsid w:val="00194949"/>
    <w:rsid w:val="001E7194"/>
    <w:rsid w:val="00235141"/>
    <w:rsid w:val="002605D7"/>
    <w:rsid w:val="00283BAC"/>
    <w:rsid w:val="002C22B9"/>
    <w:rsid w:val="002E578A"/>
    <w:rsid w:val="002E5C88"/>
    <w:rsid w:val="002F7AF2"/>
    <w:rsid w:val="00311E58"/>
    <w:rsid w:val="0044631A"/>
    <w:rsid w:val="00467C62"/>
    <w:rsid w:val="004D7D91"/>
    <w:rsid w:val="005244DD"/>
    <w:rsid w:val="005416FA"/>
    <w:rsid w:val="00560CDA"/>
    <w:rsid w:val="00564C2D"/>
    <w:rsid w:val="005D6BA4"/>
    <w:rsid w:val="00624736"/>
    <w:rsid w:val="006501AB"/>
    <w:rsid w:val="00693C6C"/>
    <w:rsid w:val="006A5229"/>
    <w:rsid w:val="006B6FBD"/>
    <w:rsid w:val="006D738B"/>
    <w:rsid w:val="006E72E9"/>
    <w:rsid w:val="006F6D21"/>
    <w:rsid w:val="007160F8"/>
    <w:rsid w:val="007B2EFC"/>
    <w:rsid w:val="007F1812"/>
    <w:rsid w:val="007F4FCF"/>
    <w:rsid w:val="008118CB"/>
    <w:rsid w:val="008228ED"/>
    <w:rsid w:val="00834D89"/>
    <w:rsid w:val="00835D58"/>
    <w:rsid w:val="00890C41"/>
    <w:rsid w:val="008D2D1C"/>
    <w:rsid w:val="008D6DAF"/>
    <w:rsid w:val="008E2624"/>
    <w:rsid w:val="00922D40"/>
    <w:rsid w:val="00934E2A"/>
    <w:rsid w:val="009423E0"/>
    <w:rsid w:val="009725BA"/>
    <w:rsid w:val="009B712C"/>
    <w:rsid w:val="009E1B83"/>
    <w:rsid w:val="00A304AB"/>
    <w:rsid w:val="00AA4058"/>
    <w:rsid w:val="00AB0ECB"/>
    <w:rsid w:val="00AB1E73"/>
    <w:rsid w:val="00AC1401"/>
    <w:rsid w:val="00AC248F"/>
    <w:rsid w:val="00AD1208"/>
    <w:rsid w:val="00B030B3"/>
    <w:rsid w:val="00B22F37"/>
    <w:rsid w:val="00B35FD1"/>
    <w:rsid w:val="00B426BF"/>
    <w:rsid w:val="00B60CEF"/>
    <w:rsid w:val="00BB5F5F"/>
    <w:rsid w:val="00C12877"/>
    <w:rsid w:val="00C27CAF"/>
    <w:rsid w:val="00C527B5"/>
    <w:rsid w:val="00C56512"/>
    <w:rsid w:val="00C77B81"/>
    <w:rsid w:val="00D308D6"/>
    <w:rsid w:val="00D45AA9"/>
    <w:rsid w:val="00D56F33"/>
    <w:rsid w:val="00D614A7"/>
    <w:rsid w:val="00D74CB3"/>
    <w:rsid w:val="00D940FA"/>
    <w:rsid w:val="00E07CA0"/>
    <w:rsid w:val="00E2574C"/>
    <w:rsid w:val="00E9227B"/>
    <w:rsid w:val="00FB3A60"/>
    <w:rsid w:val="00FB6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D58"/>
  </w:style>
  <w:style w:type="paragraph" w:styleId="Heading1">
    <w:name w:val="heading 1"/>
    <w:basedOn w:val="Normal"/>
    <w:next w:val="Normal"/>
    <w:link w:val="Heading1Char"/>
    <w:uiPriority w:val="9"/>
    <w:qFormat/>
    <w:rsid w:val="00C128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28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28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28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28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28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28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28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28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8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28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28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28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28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28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28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28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2877"/>
    <w:rPr>
      <w:rFonts w:eastAsiaTheme="majorEastAsia" w:cstheme="majorBidi"/>
      <w:color w:val="272727" w:themeColor="text1" w:themeTint="D8"/>
    </w:rPr>
  </w:style>
  <w:style w:type="paragraph" w:styleId="Title">
    <w:name w:val="Title"/>
    <w:basedOn w:val="Normal"/>
    <w:next w:val="Normal"/>
    <w:link w:val="TitleChar"/>
    <w:uiPriority w:val="10"/>
    <w:qFormat/>
    <w:rsid w:val="00C128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28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28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28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2877"/>
    <w:pPr>
      <w:spacing w:before="160"/>
      <w:jc w:val="center"/>
    </w:pPr>
    <w:rPr>
      <w:i/>
      <w:iCs/>
      <w:color w:val="404040" w:themeColor="text1" w:themeTint="BF"/>
    </w:rPr>
  </w:style>
  <w:style w:type="character" w:customStyle="1" w:styleId="QuoteChar">
    <w:name w:val="Quote Char"/>
    <w:basedOn w:val="DefaultParagraphFont"/>
    <w:link w:val="Quote"/>
    <w:uiPriority w:val="29"/>
    <w:rsid w:val="00C12877"/>
    <w:rPr>
      <w:i/>
      <w:iCs/>
      <w:color w:val="404040" w:themeColor="text1" w:themeTint="BF"/>
    </w:rPr>
  </w:style>
  <w:style w:type="paragraph" w:styleId="ListParagraph">
    <w:name w:val="List Paragraph"/>
    <w:aliases w:val="main heading,Citation List,Graphic,List Paragraph1,Bullets1,Resume Title,Table of contents numbered,heading 4,Ha,List Paragraph Char Char,lp1,List Paragraph11,List Paragraph1 Char Char,Figure_name,Colorful List - Accent 11,Normal 2,Bullet"/>
    <w:basedOn w:val="Normal"/>
    <w:link w:val="ListParagraphChar"/>
    <w:uiPriority w:val="1"/>
    <w:qFormat/>
    <w:rsid w:val="00C12877"/>
    <w:pPr>
      <w:ind w:left="720"/>
      <w:contextualSpacing/>
    </w:pPr>
  </w:style>
  <w:style w:type="character" w:styleId="IntenseEmphasis">
    <w:name w:val="Intense Emphasis"/>
    <w:basedOn w:val="DefaultParagraphFont"/>
    <w:uiPriority w:val="21"/>
    <w:qFormat/>
    <w:rsid w:val="00C12877"/>
    <w:rPr>
      <w:i/>
      <w:iCs/>
      <w:color w:val="0F4761" w:themeColor="accent1" w:themeShade="BF"/>
    </w:rPr>
  </w:style>
  <w:style w:type="paragraph" w:styleId="IntenseQuote">
    <w:name w:val="Intense Quote"/>
    <w:basedOn w:val="Normal"/>
    <w:next w:val="Normal"/>
    <w:link w:val="IntenseQuoteChar"/>
    <w:uiPriority w:val="30"/>
    <w:qFormat/>
    <w:rsid w:val="00C128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2877"/>
    <w:rPr>
      <w:i/>
      <w:iCs/>
      <w:color w:val="0F4761" w:themeColor="accent1" w:themeShade="BF"/>
    </w:rPr>
  </w:style>
  <w:style w:type="character" w:styleId="IntenseReference">
    <w:name w:val="Intense Reference"/>
    <w:basedOn w:val="DefaultParagraphFont"/>
    <w:uiPriority w:val="32"/>
    <w:qFormat/>
    <w:rsid w:val="00C12877"/>
    <w:rPr>
      <w:b/>
      <w:bCs/>
      <w:smallCaps/>
      <w:color w:val="0F4761" w:themeColor="accent1" w:themeShade="BF"/>
      <w:spacing w:val="5"/>
    </w:rPr>
  </w:style>
  <w:style w:type="table" w:styleId="TableGrid">
    <w:name w:val="Table Grid"/>
    <w:basedOn w:val="TableNormal"/>
    <w:uiPriority w:val="39"/>
    <w:rsid w:val="00D614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AB1E73"/>
    <w:pPr>
      <w:spacing w:after="120"/>
    </w:pPr>
  </w:style>
  <w:style w:type="character" w:customStyle="1" w:styleId="BodyTextChar">
    <w:name w:val="Body Text Char"/>
    <w:basedOn w:val="DefaultParagraphFont"/>
    <w:link w:val="BodyText"/>
    <w:uiPriority w:val="99"/>
    <w:rsid w:val="00AB1E73"/>
  </w:style>
  <w:style w:type="character" w:customStyle="1" w:styleId="ListParagraphChar">
    <w:name w:val="List Paragraph Char"/>
    <w:aliases w:val="main heading Char,Citation List Char,Graphic Char,List Paragraph1 Char,Bullets1 Char,Resume Title Char,Table of contents numbered Char,heading 4 Char,Ha Char,List Paragraph Char Char Char,lp1 Char,List Paragraph11 Char,Normal 2 Char"/>
    <w:link w:val="ListParagraph"/>
    <w:uiPriority w:val="34"/>
    <w:qFormat/>
    <w:locked/>
    <w:rsid w:val="00560CDA"/>
  </w:style>
  <w:style w:type="paragraph" w:styleId="BalloonText">
    <w:name w:val="Balloon Text"/>
    <w:basedOn w:val="Normal"/>
    <w:link w:val="BalloonTextChar"/>
    <w:uiPriority w:val="99"/>
    <w:semiHidden/>
    <w:unhideWhenUsed/>
    <w:rsid w:val="00260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5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mkusum.mnre.gov.in/%23/land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gerc.telangana.gov.in/file_upload/uploads/PPA/2025/PUBLIC%20NOTICE%2003.04.2025/Petition%20vide%20OP_No_32%20of%202025.pdf" TargetMode="External"/><Relationship Id="rId12" Type="http://schemas.openxmlformats.org/officeDocument/2006/relationships/hyperlink" Target="https://www.mahadiscom.in/solar-mskvy/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gerc.telangana.gov.in/file_upload/uploads/PPA/2025/PUBLIC%20NOTICE%2003.04.2025/Petition%20vide%20OP_No_32%20of%202025.pdf" TargetMode="External"/><Relationship Id="rId11" Type="http://schemas.openxmlformats.org/officeDocument/2006/relationships/hyperlink" Target="https://pmkusum.mnre.gov.in/%23/landing/more-about-C-FLS" TargetMode="External"/><Relationship Id="rId5" Type="http://schemas.openxmlformats.org/officeDocument/2006/relationships/hyperlink" Target="https://tgerc.telangana.gov.in/file_upload/uploads/PPA/2025/PUBLIC%20NOTICE%2003.04.2025/Addl%20Info-2.pdf" TargetMode="External"/><Relationship Id="rId10" Type="http://schemas.openxmlformats.org/officeDocument/2006/relationships/hyperlink" Target="https://tgerc.telangana.gov.in/file_upload/uploads/PPA/2025/PUBLIC%20NOTICE%2003.04.2025/Addl%20Info-1.pdf" TargetMode="External"/><Relationship Id="rId4" Type="http://schemas.openxmlformats.org/officeDocument/2006/relationships/webSettings" Target="webSettings.xml"/><Relationship Id="rId9" Type="http://schemas.openxmlformats.org/officeDocument/2006/relationships/hyperlink" Target="https://pmkusum.mnre.gov.in/%23/land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58</TotalTime>
  <Pages>5</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Koganti, Trinath</dc:creator>
  <cp:keywords/>
  <dc:description/>
  <cp:lastModifiedBy>SPDCL</cp:lastModifiedBy>
  <cp:revision>28</cp:revision>
  <cp:lastPrinted>2025-04-15T09:39:00Z</cp:lastPrinted>
  <dcterms:created xsi:type="dcterms:W3CDTF">2025-04-14T03:58:00Z</dcterms:created>
  <dcterms:modified xsi:type="dcterms:W3CDTF">2025-04-15T09:39:00Z</dcterms:modified>
</cp:coreProperties>
</file>